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2D" w:rsidRPr="00483B2D" w:rsidRDefault="00483B2D" w:rsidP="00483B2D">
      <w:pPr>
        <w:shd w:val="clear" w:color="auto" w:fill="FFFFFF"/>
        <w:spacing w:after="0" w:line="240" w:lineRule="auto"/>
        <w:outlineLvl w:val="0"/>
        <w:rPr>
          <w:rFonts w:ascii="Arial" w:eastAsia="Times New Roman" w:hAnsi="Arial" w:cs="Arial"/>
          <w:b/>
          <w:bCs/>
          <w:noProof/>
          <w:color w:val="333333"/>
          <w:kern w:val="36"/>
          <w:sz w:val="36"/>
          <w:szCs w:val="36"/>
        </w:rPr>
      </w:pPr>
      <w:r w:rsidRPr="00483B2D">
        <w:rPr>
          <w:rFonts w:ascii="Arial" w:eastAsia="Times New Roman" w:hAnsi="Arial" w:cs="Arial"/>
          <w:b/>
          <w:bCs/>
          <w:noProof/>
          <w:color w:val="8D1D3F"/>
          <w:kern w:val="36"/>
          <w:sz w:val="36"/>
        </w:rPr>
        <w:t>United States</w:t>
      </w:r>
      <w:r w:rsidRPr="00483B2D">
        <w:rPr>
          <w:rFonts w:ascii="Arial" w:eastAsia="Times New Roman" w:hAnsi="Arial" w:cs="Arial"/>
          <w:b/>
          <w:bCs/>
          <w:noProof/>
          <w:color w:val="333333"/>
          <w:kern w:val="36"/>
          <w:sz w:val="36"/>
          <w:szCs w:val="36"/>
        </w:rPr>
        <w:t>: US FDA Issues Warning Letter To Stem Cell Treatment Centers</w:t>
      </w:r>
    </w:p>
    <w:p w:rsidR="00483B2D" w:rsidRPr="00483B2D" w:rsidRDefault="00483B2D" w:rsidP="00483B2D">
      <w:pPr>
        <w:pStyle w:val="NormalWeb"/>
        <w:shd w:val="clear" w:color="auto" w:fill="FFFFFF"/>
        <w:rPr>
          <w:rFonts w:ascii="Arial" w:hAnsi="Arial" w:cs="Arial"/>
          <w:noProof/>
          <w:color w:val="333333"/>
          <w:sz w:val="22"/>
          <w:szCs w:val="22"/>
        </w:rPr>
      </w:pPr>
      <w:r w:rsidRPr="00483B2D">
        <w:rPr>
          <w:rFonts w:ascii="Arial" w:hAnsi="Arial" w:cs="Arial"/>
          <w:noProof/>
          <w:color w:val="333333"/>
          <w:sz w:val="22"/>
          <w:szCs w:val="22"/>
        </w:rPr>
        <w:t>The US Food and Drug Administration ("FDA") has sent a</w:t>
      </w:r>
      <w:r w:rsidRPr="00483B2D">
        <w:rPr>
          <w:rStyle w:val="apple-converted-space"/>
          <w:rFonts w:ascii="Arial" w:hAnsi="Arial" w:cs="Arial"/>
          <w:noProof/>
          <w:color w:val="333333"/>
          <w:sz w:val="22"/>
          <w:szCs w:val="22"/>
        </w:rPr>
        <w:t> </w:t>
      </w:r>
      <w:hyperlink r:id="rId4" w:tgtFrame="_blank" w:history="1">
        <w:r w:rsidRPr="00483B2D">
          <w:rPr>
            <w:rStyle w:val="Hyperlink"/>
            <w:rFonts w:ascii="Arial" w:hAnsi="Arial" w:cs="Arial"/>
            <w:noProof/>
            <w:color w:val="243B92"/>
            <w:sz w:val="22"/>
            <w:szCs w:val="22"/>
            <w:u w:val="none"/>
          </w:rPr>
          <w:t>Warning Letter</w:t>
        </w:r>
      </w:hyperlink>
      <w:r w:rsidRPr="00483B2D">
        <w:rPr>
          <w:rStyle w:val="apple-converted-space"/>
          <w:rFonts w:ascii="Arial" w:hAnsi="Arial" w:cs="Arial"/>
          <w:noProof/>
          <w:color w:val="333333"/>
          <w:sz w:val="22"/>
          <w:szCs w:val="22"/>
        </w:rPr>
        <w:t> </w:t>
      </w:r>
      <w:r w:rsidRPr="00483B2D">
        <w:rPr>
          <w:rFonts w:ascii="Arial" w:hAnsi="Arial" w:cs="Arial"/>
          <w:noProof/>
          <w:color w:val="333333"/>
          <w:sz w:val="22"/>
          <w:szCs w:val="22"/>
        </w:rPr>
        <w:t>covering three physician-operated stem cell treatment centers in California, Florida and New York asserting that the centers have unlawfully recovered and processed adipose (fat) tissue to perform stem cell therapy and deviated from current good manufacturing practice ("CGMP") and current good tissue practice ("CGTP") in doing so. The issuance of a Warning Letter in these circumstances is significant because it may signal a departure from FDA's past practice of less strict regulatory enforcement against practitioners of stem cell therapies.</w:t>
      </w:r>
    </w:p>
    <w:p w:rsidR="00483B2D" w:rsidRPr="00483B2D" w:rsidRDefault="00483B2D" w:rsidP="00483B2D">
      <w:pPr>
        <w:pStyle w:val="NormalWeb"/>
        <w:shd w:val="clear" w:color="auto" w:fill="FFFFFF"/>
        <w:rPr>
          <w:rFonts w:ascii="Arial" w:hAnsi="Arial" w:cs="Arial"/>
          <w:noProof/>
          <w:color w:val="333333"/>
          <w:sz w:val="22"/>
          <w:szCs w:val="22"/>
        </w:rPr>
      </w:pPr>
      <w:r w:rsidRPr="00483B2D">
        <w:rPr>
          <w:rFonts w:ascii="Arial" w:hAnsi="Arial" w:cs="Arial"/>
          <w:noProof/>
          <w:color w:val="333333"/>
          <w:sz w:val="22"/>
          <w:szCs w:val="22"/>
        </w:rPr>
        <w:t>The procedure at issue is relatively common. The physician uses a needle to remove adipose tissue from the patient, isolates the stromal vascular fraction ("SVF") of the tissue and implants the SVF autologously, meaning back into the same patient. One of the most common therapies of this type is a relatively simple office procedure in orthopedic and rehabilitation medicine; the physician obtains SVF from the patient and injects it back into a surgical or arthritic joint, in an effort to promote the repair and replacement of diseased cartilage.</w:t>
      </w:r>
    </w:p>
    <w:p w:rsidR="00483B2D" w:rsidRPr="00483B2D" w:rsidRDefault="00483B2D" w:rsidP="00483B2D">
      <w:pPr>
        <w:pStyle w:val="NormalWeb"/>
        <w:shd w:val="clear" w:color="auto" w:fill="FFFFFF"/>
        <w:rPr>
          <w:rFonts w:ascii="Arial" w:hAnsi="Arial" w:cs="Arial"/>
          <w:noProof/>
          <w:color w:val="333333"/>
          <w:sz w:val="22"/>
          <w:szCs w:val="22"/>
        </w:rPr>
      </w:pPr>
      <w:r w:rsidRPr="00483B2D">
        <w:rPr>
          <w:rFonts w:ascii="Arial" w:hAnsi="Arial" w:cs="Arial"/>
          <w:noProof/>
          <w:color w:val="333333"/>
          <w:sz w:val="22"/>
          <w:szCs w:val="22"/>
        </w:rPr>
        <w:t>In this particular Warning Letter, FDA indicates that the treatment centers were obtaining and using autologous SVF to perform intravenous ("IV") or intrathecal (spinal) injections, or for nasal or oral nebulization. FDA notes that the treatment centers were using these procedures to treat a variety of serious conditions such as Parkinson's, multiple sclerosis and cerebral palsy. From the letter, it does not appear that FDA cited the centers for performing stem cell procedures in the context of joint conditions.</w:t>
      </w:r>
    </w:p>
    <w:p w:rsidR="00483B2D" w:rsidRPr="00483B2D" w:rsidRDefault="00483B2D" w:rsidP="00483B2D">
      <w:pPr>
        <w:pStyle w:val="NormalWeb"/>
        <w:shd w:val="clear" w:color="auto" w:fill="FFFFFF"/>
        <w:rPr>
          <w:rFonts w:ascii="Arial" w:hAnsi="Arial" w:cs="Arial"/>
          <w:noProof/>
          <w:color w:val="333333"/>
          <w:sz w:val="22"/>
          <w:szCs w:val="22"/>
        </w:rPr>
      </w:pPr>
      <w:r w:rsidRPr="00483B2D">
        <w:rPr>
          <w:rFonts w:ascii="Arial" w:hAnsi="Arial" w:cs="Arial"/>
          <w:noProof/>
          <w:color w:val="333333"/>
          <w:sz w:val="22"/>
          <w:szCs w:val="22"/>
        </w:rPr>
        <w:t>Under federal regulations, adipose tissue and SVF constitute a "human cell, tissue, or cellular and tissue based product" ("HCT/P"). HCT/Ps may be regulated in one of two ways under the Public Health Service ("PHS") Act and enabling regulations. The product may be subject to Section 351 of the PHS Act, in which case it must undergo the extensive premarket approval process of a Biological License Application ("BLA"). However, the product may be subject to certain exceptions, in which case it is regulated under Section 361 of the PHS Act, which exempts it from the BLA premarket approval process. Exceptions exist for (i) "minimal manipulation" of the HCT/Ps, (ii) putting the HCT/Ps to "homologous use" and (iii) harvesting and implantation of autologous HCT/Ps during the "same surgical procedure." FDA has issued three guidances in recent years discussing how these exceptions might or might not apply in specific contexts. But as a practical matter, FDA appeared to be exercising a relatively high degree of enforcement discretion, for the most part pursuing only the more egregious cases.</w:t>
      </w:r>
    </w:p>
    <w:p w:rsidR="00483B2D" w:rsidRPr="00483B2D" w:rsidRDefault="00483B2D" w:rsidP="00483B2D">
      <w:pPr>
        <w:pStyle w:val="NormalWeb"/>
        <w:shd w:val="clear" w:color="auto" w:fill="FFFFFF"/>
        <w:rPr>
          <w:rFonts w:ascii="Arial" w:hAnsi="Arial" w:cs="Arial"/>
          <w:noProof/>
          <w:color w:val="333333"/>
          <w:sz w:val="22"/>
          <w:szCs w:val="22"/>
        </w:rPr>
      </w:pPr>
      <w:r w:rsidRPr="00483B2D">
        <w:rPr>
          <w:rFonts w:ascii="Arial" w:hAnsi="Arial" w:cs="Arial"/>
          <w:noProof/>
          <w:color w:val="333333"/>
          <w:sz w:val="22"/>
          <w:szCs w:val="22"/>
        </w:rPr>
        <w:t>Based on this recent Warning Letter, it appears FDA may be changing its approach. In the Warning Letter, FDA states that its enforcement action is based on its finding that at least two of the exceptions to Section 351 regulation do not apply. FDA first concludes that the adipose tissue is more than "minimally manipulated" in the procedure at issue because the "processing alters the original relevant characteristics relating to the tissue's utility for reconstruction, repair, or replacement." FDA further concludes that the procedure is not putting the adipose tissue to "homologous use" because the SVF "is not intended to perform the basic function or functions of adipose tissue, which generally is to cover, connect, or cushion."</w:t>
      </w:r>
    </w:p>
    <w:p w:rsidR="00483B2D" w:rsidRPr="00483B2D" w:rsidRDefault="00483B2D" w:rsidP="00483B2D">
      <w:pPr>
        <w:pStyle w:val="NormalWeb"/>
        <w:shd w:val="clear" w:color="auto" w:fill="FFFFFF"/>
        <w:rPr>
          <w:rFonts w:ascii="Arial" w:hAnsi="Arial" w:cs="Arial"/>
          <w:noProof/>
          <w:color w:val="333333"/>
          <w:sz w:val="22"/>
          <w:szCs w:val="22"/>
        </w:rPr>
      </w:pPr>
      <w:r w:rsidRPr="00483B2D">
        <w:rPr>
          <w:rFonts w:ascii="Arial" w:hAnsi="Arial" w:cs="Arial"/>
          <w:noProof/>
          <w:color w:val="333333"/>
          <w:sz w:val="22"/>
          <w:szCs w:val="22"/>
        </w:rPr>
        <w:t xml:space="preserve">As noted above, there is a third exception to Section 351 regulation for HCT/Ps that are removed and transplanted back into the same patient during a single surgical procedure. In its </w:t>
      </w:r>
      <w:r w:rsidRPr="00483B2D">
        <w:rPr>
          <w:rFonts w:ascii="Arial" w:hAnsi="Arial" w:cs="Arial"/>
          <w:noProof/>
          <w:color w:val="333333"/>
          <w:sz w:val="22"/>
          <w:szCs w:val="22"/>
        </w:rPr>
        <w:lastRenderedPageBreak/>
        <w:t>guidance, FDA has stated its intention to apply this exception where the HCT/Ps are not subjected to "intervening steps beyond rinsing cleansing, or sizing, or certain manufacturing steps." FDA's stated reasoning is that such limited procedures "raise no additional risks of contamination and communicable disease transmission beyond that typically associated with surgery."</w:t>
      </w:r>
      <w:r w:rsidRPr="00483B2D">
        <w:rPr>
          <w:rFonts w:ascii="Arial" w:hAnsi="Arial" w:cs="Arial"/>
          <w:noProof/>
          <w:color w:val="333333"/>
          <w:sz w:val="22"/>
          <w:szCs w:val="22"/>
          <w:vertAlign w:val="superscript"/>
        </w:rPr>
        <w:t>1</w:t>
      </w:r>
      <w:r w:rsidRPr="00483B2D">
        <w:rPr>
          <w:rStyle w:val="apple-converted-space"/>
          <w:rFonts w:ascii="Arial" w:hAnsi="Arial" w:cs="Arial"/>
          <w:noProof/>
          <w:color w:val="333333"/>
          <w:sz w:val="22"/>
          <w:szCs w:val="22"/>
        </w:rPr>
        <w:t> </w:t>
      </w:r>
      <w:r w:rsidRPr="00483B2D">
        <w:rPr>
          <w:rFonts w:ascii="Arial" w:hAnsi="Arial" w:cs="Arial"/>
          <w:noProof/>
          <w:color w:val="333333"/>
          <w:sz w:val="22"/>
          <w:szCs w:val="22"/>
        </w:rPr>
        <w:t>Based on the Warning Letter's description of IV or intrathecal injection and nasal or oral nebulization, it appears that the cited procedures may not involve harvesting and implantation in the same procedure, in which case this exception would be inapplicable. FDA also cites CGMP and CGTP violations relating to such issues as contamination, record-keeping, and labeling, which also may have been a factor in FDA's approach in this case.</w:t>
      </w:r>
    </w:p>
    <w:p w:rsidR="00483B2D" w:rsidRPr="00483B2D" w:rsidRDefault="00483B2D" w:rsidP="00483B2D">
      <w:pPr>
        <w:pStyle w:val="NormalWeb"/>
        <w:shd w:val="clear" w:color="auto" w:fill="FFFFFF"/>
        <w:rPr>
          <w:rFonts w:ascii="Arial" w:hAnsi="Arial" w:cs="Arial"/>
          <w:noProof/>
          <w:color w:val="333333"/>
          <w:sz w:val="22"/>
          <w:szCs w:val="22"/>
        </w:rPr>
      </w:pPr>
      <w:r w:rsidRPr="00483B2D">
        <w:rPr>
          <w:rFonts w:ascii="Arial" w:hAnsi="Arial" w:cs="Arial"/>
          <w:noProof/>
          <w:color w:val="333333"/>
          <w:sz w:val="22"/>
          <w:szCs w:val="22"/>
        </w:rPr>
        <w:t>Many practitioners and organizations currently practice various forms of stem cell therapies using SVF derived from adipose tissue. As noted above, one of the most common uses of this procedures is in orthopedic and rehabilitation medicine for surgical or arthritic joints. To date, there appear to be few if any peer-reviewed, evidence-based studies reporting the success of this procedure to statistical significance. As a practical matter, payers are continuing to decline coverage on the ground that the procedure is experimental. However, anecdotal reports of success using this procedure are commonplace.</w:t>
      </w:r>
    </w:p>
    <w:p w:rsidR="00483B2D" w:rsidRPr="00483B2D" w:rsidRDefault="00483B2D" w:rsidP="00483B2D">
      <w:pPr>
        <w:pStyle w:val="NormalWeb"/>
        <w:shd w:val="clear" w:color="auto" w:fill="FFFFFF"/>
        <w:rPr>
          <w:rFonts w:ascii="Arial" w:hAnsi="Arial" w:cs="Arial"/>
          <w:noProof/>
          <w:color w:val="333333"/>
          <w:sz w:val="22"/>
          <w:szCs w:val="22"/>
        </w:rPr>
      </w:pPr>
      <w:r w:rsidRPr="00483B2D">
        <w:rPr>
          <w:rFonts w:ascii="Arial" w:hAnsi="Arial" w:cs="Arial"/>
          <w:noProof/>
          <w:color w:val="333333"/>
          <w:sz w:val="22"/>
          <w:szCs w:val="22"/>
        </w:rPr>
        <w:t>On balance, while this recent Warning Letter raises the possibility that FDA may be taking a more aggressive enforcement approach with regard to stem cell therapy, questions still remain regarding how far FDA will undertake enforcement activity in this area in particular circumstances, not least of which is in the popular orthopedic/rehabilitation field.</w:t>
      </w:r>
    </w:p>
    <w:p w:rsidR="00483B2D" w:rsidRPr="00483B2D" w:rsidRDefault="00483B2D" w:rsidP="00483B2D">
      <w:pPr>
        <w:pStyle w:val="NormalWeb"/>
        <w:shd w:val="clear" w:color="auto" w:fill="FFFFFF"/>
        <w:rPr>
          <w:rFonts w:ascii="Arial" w:hAnsi="Arial" w:cs="Arial"/>
          <w:noProof/>
          <w:color w:val="333333"/>
          <w:sz w:val="22"/>
          <w:szCs w:val="22"/>
        </w:rPr>
      </w:pPr>
      <w:r w:rsidRPr="00483B2D">
        <w:rPr>
          <w:rFonts w:ascii="Arial" w:hAnsi="Arial" w:cs="Arial"/>
          <w:noProof/>
          <w:color w:val="333333"/>
          <w:sz w:val="22"/>
          <w:szCs w:val="22"/>
        </w:rPr>
        <w:t>An interesting trend, which has continued in this Warning Letter, is the use of CGMP violations and other process violations as grounds for action. In many cases, these determinations have been made in the context of the issuance of letters to manufacturers of products about which FDA is known to be skeptical.</w:t>
      </w:r>
    </w:p>
    <w:p w:rsidR="00483B2D" w:rsidRPr="00483B2D" w:rsidRDefault="00483B2D" w:rsidP="00483B2D">
      <w:pPr>
        <w:pStyle w:val="NormalWeb"/>
        <w:shd w:val="clear" w:color="auto" w:fill="FFFFFF"/>
        <w:rPr>
          <w:rFonts w:ascii="Arial" w:hAnsi="Arial" w:cs="Arial"/>
          <w:noProof/>
          <w:color w:val="333333"/>
          <w:sz w:val="22"/>
          <w:szCs w:val="22"/>
        </w:rPr>
      </w:pPr>
      <w:r w:rsidRPr="00483B2D">
        <w:rPr>
          <w:rFonts w:ascii="Arial" w:hAnsi="Arial" w:cs="Arial"/>
          <w:noProof/>
          <w:color w:val="333333"/>
          <w:sz w:val="22"/>
          <w:szCs w:val="22"/>
        </w:rPr>
        <w:t>In a broader context, this development is of a piece with a number of recent policy reversals by FDA toward more restrictive regulation in a variety of innovative therapeutic initiatives. There is speculation that the agency is attempting to conclude rulemaking in a number of topics in anticipation both of a potential change in party and enactment by Congress of the 21st Century Cures Act. The former could affect regulatory priorities and approaches. The latter, if it proceeds on its present path, would profoundly affect both the type of data FDA will have to consider when evaluating such therapies, and in many cases change the outcome of FDA's evaluation of therapies.</w:t>
      </w:r>
    </w:p>
    <w:p w:rsidR="00483B2D" w:rsidRPr="00483B2D" w:rsidRDefault="00483B2D" w:rsidP="00483B2D">
      <w:pPr>
        <w:pStyle w:val="NormalWeb"/>
        <w:shd w:val="clear" w:color="auto" w:fill="FFFFFF"/>
        <w:rPr>
          <w:rFonts w:ascii="Arial" w:hAnsi="Arial" w:cs="Arial"/>
          <w:noProof/>
          <w:color w:val="333333"/>
          <w:sz w:val="22"/>
          <w:szCs w:val="22"/>
        </w:rPr>
      </w:pPr>
      <w:r w:rsidRPr="00483B2D">
        <w:rPr>
          <w:rFonts w:ascii="Arial" w:hAnsi="Arial" w:cs="Arial"/>
          <w:noProof/>
          <w:color w:val="333333"/>
          <w:sz w:val="22"/>
          <w:szCs w:val="22"/>
        </w:rPr>
        <w:t>In the near term, it seems clear that if FDA does proceed to increase enforcement in this area, which is of great interest to both practitioners and patients, it is almost certain that there will be a vigorous response from the various stakeholders.</w:t>
      </w:r>
      <w:permStart w:id="0" w:edGrp="everyone"/>
      <w:permEnd w:id="0"/>
    </w:p>
    <w:p w:rsidR="00C97CB0" w:rsidRPr="00483B2D" w:rsidRDefault="00C97CB0">
      <w:pPr>
        <w:rPr>
          <w:noProof/>
        </w:rPr>
      </w:pPr>
    </w:p>
    <w:sectPr w:rsidR="00C97CB0" w:rsidRPr="00483B2D" w:rsidSect="00211C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4tDIEd+2wol4lT6VCko62hLqza0=" w:salt="XNFo7wXGHpEuj0aEYGz5Uw=="/>
  <w:defaultTabStop w:val="720"/>
  <w:characterSpacingControl w:val="doNotCompress"/>
  <w:compat>
    <w:useFELayout/>
  </w:compat>
  <w:rsids>
    <w:rsidRoot w:val="00483B2D"/>
    <w:rsid w:val="00211CD6"/>
    <w:rsid w:val="00445DA2"/>
    <w:rsid w:val="00483B2D"/>
    <w:rsid w:val="00C97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D6"/>
  </w:style>
  <w:style w:type="paragraph" w:styleId="Heading1">
    <w:name w:val="heading 1"/>
    <w:basedOn w:val="Normal"/>
    <w:link w:val="Heading1Char"/>
    <w:uiPriority w:val="9"/>
    <w:qFormat/>
    <w:rsid w:val="00483B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3B2D"/>
  </w:style>
  <w:style w:type="character" w:styleId="Hyperlink">
    <w:name w:val="Hyperlink"/>
    <w:basedOn w:val="DefaultParagraphFont"/>
    <w:uiPriority w:val="99"/>
    <w:semiHidden/>
    <w:unhideWhenUsed/>
    <w:rsid w:val="00483B2D"/>
    <w:rPr>
      <w:color w:val="0000FF"/>
      <w:u w:val="single"/>
    </w:rPr>
  </w:style>
  <w:style w:type="character" w:customStyle="1" w:styleId="Heading1Char">
    <w:name w:val="Heading 1 Char"/>
    <w:basedOn w:val="DefaultParagraphFont"/>
    <w:link w:val="Heading1"/>
    <w:uiPriority w:val="9"/>
    <w:rsid w:val="00483B2D"/>
    <w:rPr>
      <w:rFonts w:ascii="Times New Roman" w:eastAsia="Times New Roman" w:hAnsi="Times New Roman" w:cs="Times New Roman"/>
      <w:b/>
      <w:bCs/>
      <w:kern w:val="36"/>
      <w:sz w:val="48"/>
      <w:szCs w:val="48"/>
    </w:rPr>
  </w:style>
  <w:style w:type="character" w:customStyle="1" w:styleId="firstword">
    <w:name w:val="firstword"/>
    <w:basedOn w:val="DefaultParagraphFont"/>
    <w:rsid w:val="00483B2D"/>
  </w:style>
</w:styles>
</file>

<file path=word/webSettings.xml><?xml version="1.0" encoding="utf-8"?>
<w:webSettings xmlns:r="http://schemas.openxmlformats.org/officeDocument/2006/relationships" xmlns:w="http://schemas.openxmlformats.org/wordprocessingml/2006/main">
  <w:divs>
    <w:div w:id="1098602679">
      <w:bodyDiv w:val="1"/>
      <w:marLeft w:val="0"/>
      <w:marRight w:val="0"/>
      <w:marTop w:val="0"/>
      <w:marBottom w:val="0"/>
      <w:divBdr>
        <w:top w:val="none" w:sz="0" w:space="0" w:color="auto"/>
        <w:left w:val="none" w:sz="0" w:space="0" w:color="auto"/>
        <w:bottom w:val="none" w:sz="0" w:space="0" w:color="auto"/>
        <w:right w:val="none" w:sz="0" w:space="0" w:color="auto"/>
      </w:divBdr>
    </w:div>
    <w:div w:id="15382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action.mayerbrown.com/rs/ct.aspx?ct=24F76F1ED0E346A9CCDD89ACD12C9211DFF155B7EDA333F175D55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1034</Words>
  <Characters>5898</Characters>
  <Application>Microsoft Office Word</Application>
  <DocSecurity>8</DocSecurity>
  <Lines>49</Lines>
  <Paragraphs>13</Paragraphs>
  <ScaleCrop>false</ScaleCrop>
  <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2016-02-06T22:07:00Z</dcterms:created>
  <dcterms:modified xsi:type="dcterms:W3CDTF">2016-02-28T04:52:00Z</dcterms:modified>
</cp:coreProperties>
</file>